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A5" w:rsidRPr="00F357A5" w:rsidRDefault="00F357A5" w:rsidP="00F357A5">
      <w:pPr>
        <w:jc w:val="both"/>
        <w:rPr>
          <w:rFonts w:ascii="Georgia" w:hAnsi="Georgia" w:cs="Arial"/>
          <w:b/>
          <w:sz w:val="32"/>
        </w:rPr>
      </w:pPr>
      <w:bookmarkStart w:id="0" w:name="_GoBack"/>
      <w:r w:rsidRPr="00F357A5">
        <w:rPr>
          <w:rFonts w:ascii="Georgia" w:hAnsi="Georgia" w:cs="Arial"/>
          <w:b/>
          <w:sz w:val="32"/>
        </w:rPr>
        <w:t>SUIT FOR DECLARATIONS, OTHER THAN DECLARATION OF FORGERY OR OF ADOPTION</w:t>
      </w:r>
    </w:p>
    <w:bookmarkEnd w:id="0"/>
    <w:p w:rsidR="00F357A5" w:rsidRPr="00F357A5" w:rsidRDefault="00F357A5" w:rsidP="00F357A5">
      <w:pPr>
        <w:jc w:val="both"/>
        <w:rPr>
          <w:rFonts w:ascii="Arial" w:hAnsi="Arial" w:cs="Arial"/>
          <w:sz w:val="28"/>
        </w:rPr>
      </w:pPr>
      <w:r w:rsidRPr="00F357A5">
        <w:rPr>
          <w:rFonts w:ascii="Arial" w:hAnsi="Arial" w:cs="Arial"/>
          <w:sz w:val="28"/>
        </w:rPr>
        <w:t>Nature of grievance:</w:t>
      </w:r>
    </w:p>
    <w:p w:rsidR="00F357A5" w:rsidRPr="00F357A5" w:rsidRDefault="00F357A5" w:rsidP="00F357A5">
      <w:pPr>
        <w:jc w:val="both"/>
        <w:rPr>
          <w:rFonts w:ascii="Arial" w:hAnsi="Arial" w:cs="Arial"/>
          <w:b/>
          <w:i/>
          <w:sz w:val="32"/>
        </w:rPr>
      </w:pPr>
      <w:r w:rsidRPr="00F357A5">
        <w:rPr>
          <w:rFonts w:ascii="Arial" w:hAnsi="Arial" w:cs="Arial"/>
          <w:b/>
          <w:i/>
          <w:sz w:val="32"/>
        </w:rPr>
        <w:t>Suit to obtain declarations, other than declaration of forgery of an instrument, or, declaration in respect of an adoption: </w:t>
      </w:r>
    </w:p>
    <w:p w:rsidR="00F357A5" w:rsidRPr="00F357A5" w:rsidRDefault="00F357A5" w:rsidP="00F357A5">
      <w:pPr>
        <w:jc w:val="both"/>
        <w:rPr>
          <w:rFonts w:ascii="Arial" w:hAnsi="Arial" w:cs="Arial"/>
          <w:sz w:val="28"/>
        </w:rPr>
      </w:pPr>
      <w:r w:rsidRPr="00F357A5">
        <w:rPr>
          <w:rFonts w:ascii="Arial" w:hAnsi="Arial" w:cs="Arial"/>
          <w:sz w:val="28"/>
        </w:rPr>
        <w:t>Where any person, who is entitled to any legal character; or to any right as to any property, may institute a suit for declaration, against a person denying, or interested to deny, his title to such character or right, under Article 58 of the Limitation Act, 1963, within three years from the date when the right to move the court of law, first accrues.</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Reliefs prayed:</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(As may be appropriate and applicable to the facts of one’s case)</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a)     Be pleased to declare that Plaintiffs are entitled to _______ (the legal personality / legal position);</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 xml:space="preserve">b)     That the defendant be permanently </w:t>
      </w:r>
      <w:proofErr w:type="spellStart"/>
      <w:r w:rsidRPr="00F357A5">
        <w:rPr>
          <w:rFonts w:ascii="Arial" w:hAnsi="Arial" w:cs="Arial"/>
          <w:sz w:val="28"/>
        </w:rPr>
        <w:t>injuncted</w:t>
      </w:r>
      <w:proofErr w:type="spellEnd"/>
      <w:r w:rsidRPr="00F357A5">
        <w:rPr>
          <w:rFonts w:ascii="Arial" w:hAnsi="Arial" w:cs="Arial"/>
          <w:sz w:val="28"/>
        </w:rPr>
        <w:t xml:space="preserve"> / restrained from interfering with the said rights of the Plaintiffs;</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c)     The Defendants be ordered and decreed by way of Mandatory Injunction to __________ “perform certain acts”;</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Interim and Ad-Interim Reliefs pending the hearing and final disposal of the Suit, the Hon’ble Court so as to prevent the ends of justice from being defeated, be pleased –</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d)     That pending the hearing and final disposal of the above suit, the Hon’ble Court, in the dues exercise of powers u/s 75 and O.26 of CPC, 1908, be pleased to appoint Court Commissioner, to hold a scientific, technical, or expert investigation; to perform any other ministerial act;</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e)     Interim/ad-interim reliefs in terms of prayer clauses _____ as aforesaid.</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f)      Such further and other reliefs as this Hon’ble Court may deem fit and proper in the circumstances of the case as may be necessary.</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Material facts of the case:</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F357A5">
        <w:rPr>
          <w:rFonts w:ascii="Arial" w:hAnsi="Arial" w:cs="Arial"/>
          <w:sz w:val="28"/>
        </w:rPr>
        <w:t>non existence</w:t>
      </w:r>
      <w:proofErr w:type="spellEnd"/>
      <w:r w:rsidRPr="00F357A5">
        <w:rPr>
          <w:rFonts w:ascii="Arial" w:hAnsi="Arial" w:cs="Arial"/>
          <w:sz w:val="28"/>
        </w:rPr>
        <w:t xml:space="preserve">, as the case may be, of these facts, may entitle the Plaintiffs the judgment in their </w:t>
      </w:r>
      <w:proofErr w:type="spellStart"/>
      <w:r w:rsidRPr="00F357A5">
        <w:rPr>
          <w:rFonts w:ascii="Arial" w:hAnsi="Arial" w:cs="Arial"/>
          <w:sz w:val="28"/>
        </w:rPr>
        <w:t>favour</w:t>
      </w:r>
      <w:proofErr w:type="spellEnd"/>
      <w:r w:rsidRPr="00F357A5">
        <w:rPr>
          <w:rFonts w:ascii="Arial" w:hAnsi="Arial" w:cs="Arial"/>
          <w:sz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1.      The facts showing that the Plaintiffs are entitled to a legal personality / legal position:</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2.      The facts showing that the Defendant is, expressly or by necessary implication, denying / interfering with Plaintiffs entitlement to such legal personality / position, and such denial has the propensity to impair the rights of the Plaintiffs, in the said legal position / personality:</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3.      The facts showing as to whether the Plaintiffs is deprived of said entitlement, or if there is only an apprehension of deprivation:</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r w:rsidRPr="00F357A5">
        <w:rPr>
          <w:rFonts w:ascii="Arial" w:hAnsi="Arial" w:cs="Arial"/>
          <w:sz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F357A5" w:rsidRPr="00F357A5" w:rsidRDefault="00F357A5" w:rsidP="00F357A5">
      <w:pPr>
        <w:jc w:val="both"/>
        <w:rPr>
          <w:rFonts w:ascii="Arial" w:hAnsi="Arial" w:cs="Arial"/>
          <w:sz w:val="28"/>
        </w:rPr>
      </w:pPr>
    </w:p>
    <w:p w:rsidR="00C8037D" w:rsidRPr="00F357A5" w:rsidRDefault="00C8037D" w:rsidP="00F357A5">
      <w:pPr>
        <w:jc w:val="both"/>
        <w:rPr>
          <w:rFonts w:ascii="Arial" w:hAnsi="Arial" w:cs="Arial"/>
          <w:sz w:val="28"/>
        </w:rPr>
      </w:pPr>
    </w:p>
    <w:sectPr w:rsidR="00C8037D" w:rsidRPr="00F3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A5"/>
    <w:rsid w:val="00C8037D"/>
    <w:rsid w:val="00F3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28AB"/>
  <w15:chartTrackingRefBased/>
  <w15:docId w15:val="{DA5F9A5C-1BD0-4C6A-9259-6B353D9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357A5"/>
    <w:rPr>
      <w:color w:val="0000FF"/>
      <w:u w:val="single"/>
    </w:rPr>
  </w:style>
  <w:style w:type="character" w:customStyle="1" w:styleId="apple-converted-space">
    <w:name w:val="apple-converted-space"/>
    <w:basedOn w:val="DefaultParagraphFont"/>
    <w:rsid w:val="00F35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401317">
      <w:bodyDiv w:val="1"/>
      <w:marLeft w:val="0"/>
      <w:marRight w:val="0"/>
      <w:marTop w:val="0"/>
      <w:marBottom w:val="0"/>
      <w:divBdr>
        <w:top w:val="none" w:sz="0" w:space="0" w:color="auto"/>
        <w:left w:val="none" w:sz="0" w:space="0" w:color="auto"/>
        <w:bottom w:val="none" w:sz="0" w:space="0" w:color="auto"/>
        <w:right w:val="none" w:sz="0" w:space="0" w:color="auto"/>
      </w:divBdr>
      <w:divsChild>
        <w:div w:id="327712637">
          <w:marLeft w:val="0"/>
          <w:marRight w:val="0"/>
          <w:marTop w:val="150"/>
          <w:marBottom w:val="75"/>
          <w:divBdr>
            <w:top w:val="none" w:sz="0" w:space="0" w:color="auto"/>
            <w:left w:val="none" w:sz="0" w:space="0" w:color="auto"/>
            <w:bottom w:val="none" w:sz="0" w:space="0" w:color="auto"/>
            <w:right w:val="none" w:sz="0" w:space="0" w:color="auto"/>
          </w:divBdr>
          <w:divsChild>
            <w:div w:id="334459592">
              <w:marLeft w:val="0"/>
              <w:marRight w:val="0"/>
              <w:marTop w:val="0"/>
              <w:marBottom w:val="0"/>
              <w:divBdr>
                <w:top w:val="single" w:sz="8" w:space="1" w:color="auto"/>
                <w:left w:val="single" w:sz="8" w:space="4" w:color="auto"/>
                <w:bottom w:val="single" w:sz="8" w:space="1" w:color="auto"/>
                <w:right w:val="single" w:sz="8" w:space="4" w:color="auto"/>
              </w:divBdr>
            </w:div>
            <w:div w:id="165170526">
              <w:marLeft w:val="720"/>
              <w:marRight w:val="0"/>
              <w:marTop w:val="0"/>
              <w:marBottom w:val="0"/>
              <w:divBdr>
                <w:top w:val="none" w:sz="0" w:space="0" w:color="auto"/>
                <w:left w:val="none" w:sz="0" w:space="0" w:color="auto"/>
                <w:bottom w:val="none" w:sz="0" w:space="0" w:color="auto"/>
                <w:right w:val="none" w:sz="0" w:space="0" w:color="auto"/>
              </w:divBdr>
            </w:div>
            <w:div w:id="806048086">
              <w:marLeft w:val="720"/>
              <w:marRight w:val="0"/>
              <w:marTop w:val="0"/>
              <w:marBottom w:val="0"/>
              <w:divBdr>
                <w:top w:val="none" w:sz="0" w:space="0" w:color="auto"/>
                <w:left w:val="none" w:sz="0" w:space="0" w:color="auto"/>
                <w:bottom w:val="none" w:sz="0" w:space="0" w:color="auto"/>
                <w:right w:val="none" w:sz="0" w:space="0" w:color="auto"/>
              </w:divBdr>
            </w:div>
            <w:div w:id="1604528726">
              <w:marLeft w:val="720"/>
              <w:marRight w:val="0"/>
              <w:marTop w:val="0"/>
              <w:marBottom w:val="0"/>
              <w:divBdr>
                <w:top w:val="none" w:sz="0" w:space="0" w:color="auto"/>
                <w:left w:val="none" w:sz="0" w:space="0" w:color="auto"/>
                <w:bottom w:val="none" w:sz="0" w:space="0" w:color="auto"/>
                <w:right w:val="none" w:sz="0" w:space="0" w:color="auto"/>
              </w:divBdr>
            </w:div>
            <w:div w:id="1052920608">
              <w:marLeft w:val="720"/>
              <w:marRight w:val="0"/>
              <w:marTop w:val="0"/>
              <w:marBottom w:val="0"/>
              <w:divBdr>
                <w:top w:val="none" w:sz="0" w:space="0" w:color="auto"/>
                <w:left w:val="none" w:sz="0" w:space="0" w:color="auto"/>
                <w:bottom w:val="none" w:sz="0" w:space="0" w:color="auto"/>
                <w:right w:val="none" w:sz="0" w:space="0" w:color="auto"/>
              </w:divBdr>
            </w:div>
            <w:div w:id="627130614">
              <w:marLeft w:val="720"/>
              <w:marRight w:val="0"/>
              <w:marTop w:val="0"/>
              <w:marBottom w:val="0"/>
              <w:divBdr>
                <w:top w:val="none" w:sz="0" w:space="0" w:color="auto"/>
                <w:left w:val="none" w:sz="0" w:space="0" w:color="auto"/>
                <w:bottom w:val="none" w:sz="0" w:space="0" w:color="auto"/>
                <w:right w:val="none" w:sz="0" w:space="0" w:color="auto"/>
              </w:divBdr>
            </w:div>
            <w:div w:id="752624219">
              <w:marLeft w:val="720"/>
              <w:marRight w:val="0"/>
              <w:marTop w:val="0"/>
              <w:marBottom w:val="0"/>
              <w:divBdr>
                <w:top w:val="none" w:sz="0" w:space="0" w:color="auto"/>
                <w:left w:val="none" w:sz="0" w:space="0" w:color="auto"/>
                <w:bottom w:val="none" w:sz="0" w:space="0" w:color="auto"/>
                <w:right w:val="none" w:sz="0" w:space="0" w:color="auto"/>
              </w:divBdr>
            </w:div>
            <w:div w:id="13803892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2021-02-05T11:26:00Z</dcterms:created>
  <dcterms:modified xsi:type="dcterms:W3CDTF">2021-02-05T11:51:00Z</dcterms:modified>
</cp:coreProperties>
</file>